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135322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50763ED5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72460C">
              <w:rPr>
                <w:color w:val="FFFFFF" w:themeColor="background1"/>
                <w:u w:val="none"/>
              </w:rPr>
              <w:t>n°</w:t>
            </w:r>
            <w:r w:rsidR="00104CDA">
              <w:rPr>
                <w:color w:val="FFFFFF" w:themeColor="background1"/>
                <w:u w:val="none"/>
              </w:rPr>
              <w:t>1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29B50AED" w:rsidR="002E39AD" w:rsidRPr="000E4803" w:rsidRDefault="000E4803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 w:rsidRPr="000E4803">
              <w:rPr>
                <w:i w:val="0"/>
                <w:iCs/>
                <w:color w:val="344B95"/>
                <w:u w:val="none"/>
              </w:rPr>
              <w:t>Intégrer le pôle formation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464B0DC2" w:rsidR="002E39AD" w:rsidRPr="000E4803" w:rsidRDefault="00333F0E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E4803" w:rsidRPr="000E4803">
              <w:rPr>
                <w:sz w:val="20"/>
                <w:szCs w:val="20"/>
              </w:rPr>
              <w:t>.06.2021</w:t>
            </w:r>
          </w:p>
        </w:tc>
      </w:tr>
      <w:tr w:rsidR="000E4803" w14:paraId="4102BE26" w14:textId="77777777" w:rsidTr="00135322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3F48D3A4" w:rsidR="002E39AD" w:rsidRPr="000E4803" w:rsidRDefault="00963167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135322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7B28165E" w:rsidR="002E39AD" w:rsidRPr="000E4803" w:rsidRDefault="002E39AD" w:rsidP="00D604D1">
            <w:pPr>
              <w:jc w:val="center"/>
            </w:pPr>
            <w:r w:rsidRPr="000E4803">
              <w:t>Objectif</w:t>
            </w:r>
            <w:r w:rsidR="000E4803" w:rsidRPr="000E4803">
              <w:t>s</w:t>
            </w:r>
            <w:r w:rsidRPr="000E4803">
              <w:t xml:space="preserve">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4BCEF69B" w14:textId="77777777" w:rsidR="002E39AD" w:rsidRDefault="000E4803" w:rsidP="000E4803">
            <w:pPr>
              <w:pStyle w:val="Paragraphedeliste"/>
              <w:numPr>
                <w:ilvl w:val="0"/>
                <w:numId w:val="17"/>
              </w:numPr>
            </w:pPr>
            <w:r>
              <w:t xml:space="preserve">Accueillir les nouveaux </w:t>
            </w:r>
            <w:proofErr w:type="gramStart"/>
            <w:r>
              <w:t>formateurs.trices</w:t>
            </w:r>
            <w:proofErr w:type="gramEnd"/>
            <w:r>
              <w:t xml:space="preserve"> au sein du pôle formation</w:t>
            </w:r>
          </w:p>
          <w:p w14:paraId="6F012502" w14:textId="77777777" w:rsidR="000E4803" w:rsidRDefault="000E4803" w:rsidP="000E4803">
            <w:pPr>
              <w:pStyle w:val="Paragraphedeliste"/>
              <w:numPr>
                <w:ilvl w:val="0"/>
                <w:numId w:val="17"/>
              </w:numPr>
            </w:pPr>
            <w:r>
              <w:t>Informer sur le fonctionnement de la gestion de la formation professionnelle au pôle formation</w:t>
            </w:r>
          </w:p>
          <w:p w14:paraId="1EF5665A" w14:textId="0CF04A4F" w:rsidR="000E4803" w:rsidRDefault="000E4803" w:rsidP="000E4803">
            <w:pPr>
              <w:pStyle w:val="Paragraphedeliste"/>
              <w:numPr>
                <w:ilvl w:val="0"/>
                <w:numId w:val="17"/>
              </w:numPr>
            </w:pPr>
            <w:r>
              <w:t>Diffuser les documents utilisés dans le pôle formation</w:t>
            </w:r>
          </w:p>
        </w:tc>
      </w:tr>
      <w:tr w:rsidR="000E4803" w14:paraId="045B5652" w14:textId="77777777" w:rsidTr="00135322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1B44E18" w14:textId="68B516C3" w:rsidR="000E4803" w:rsidRDefault="000E4803" w:rsidP="000E4803">
            <w:pPr>
              <w:jc w:val="left"/>
            </w:pPr>
            <w:r>
              <w:t>- Nouveaux formateurs</w:t>
            </w:r>
          </w:p>
          <w:p w14:paraId="06373579" w14:textId="14F568B5" w:rsidR="00CD1A8C" w:rsidRDefault="00CD1A8C" w:rsidP="000E4803">
            <w:pPr>
              <w:jc w:val="left"/>
            </w:pPr>
            <w:r>
              <w:t>- Référentes territoires</w:t>
            </w:r>
          </w:p>
          <w:p w14:paraId="58B5ED1B" w14:textId="0852B9F8" w:rsidR="000E4803" w:rsidRDefault="000E4803" w:rsidP="000E4803">
            <w:pPr>
              <w:jc w:val="left"/>
            </w:pPr>
            <w:r>
              <w:t>- Coordinatr</w:t>
            </w:r>
            <w:r w:rsidR="00CD1A8C">
              <w:t>ice</w:t>
            </w:r>
            <w:r>
              <w:t xml:space="preserve"> pédagogique</w:t>
            </w: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7350F887" w14:textId="1C9AF501" w:rsidR="000E4803" w:rsidRDefault="000E4803" w:rsidP="000E4803">
            <w:r>
              <w:t>Entretien</w:t>
            </w:r>
            <w:r w:rsidR="00CD1A8C">
              <w:t>s</w:t>
            </w:r>
            <w:r>
              <w:t xml:space="preserve"> individuel</w:t>
            </w:r>
            <w:r w:rsidR="00CD1A8C">
              <w:t>s</w:t>
            </w:r>
          </w:p>
        </w:tc>
      </w:tr>
      <w:tr w:rsidR="008E6BC0" w14:paraId="22FD76F9" w14:textId="77777777" w:rsidTr="00135322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3959E016" w14:textId="133E85A3" w:rsidR="008E6BC0" w:rsidRPr="00957B1A" w:rsidRDefault="008E6BC0" w:rsidP="008E6BC0">
            <w:pPr>
              <w:jc w:val="left"/>
            </w:pPr>
            <w:r>
              <w:t xml:space="preserve">- </w:t>
            </w:r>
            <w:r w:rsidRPr="00957B1A">
              <w:t>Annexe 20 </w:t>
            </w:r>
            <w:r w:rsidR="001B3F29" w:rsidRPr="00957B1A">
              <w:t>-</w:t>
            </w:r>
            <w:r w:rsidRPr="00957B1A">
              <w:t xml:space="preserve"> Parcours d’un formateur chez Odyssée Création</w:t>
            </w:r>
          </w:p>
          <w:p w14:paraId="1B2CBABD" w14:textId="6AC0112B" w:rsidR="001B3F29" w:rsidRPr="00957B1A" w:rsidRDefault="008E6BC0" w:rsidP="001B3F29">
            <w:pPr>
              <w:jc w:val="left"/>
            </w:pPr>
            <w:r w:rsidRPr="00957B1A">
              <w:t>- Emargements des participations aux actions d’intégration</w:t>
            </w:r>
            <w:r w:rsidR="001B3F29" w:rsidRPr="00957B1A">
              <w:t xml:space="preserve"> </w:t>
            </w:r>
            <w:r w:rsidR="001B3F29"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  <w:p w14:paraId="68277B9C" w14:textId="655F8ABE" w:rsidR="008E6BC0" w:rsidRPr="00957B1A" w:rsidRDefault="001B3F29" w:rsidP="001B3F29">
            <w:pPr>
              <w:jc w:val="left"/>
              <w:rPr>
                <w:b/>
                <w:bCs/>
                <w:i/>
                <w:iCs/>
              </w:rPr>
            </w:pPr>
            <w:r w:rsidRPr="00957B1A">
              <w:t>- C</w:t>
            </w:r>
            <w:r w:rsidR="008E6BC0" w:rsidRPr="00957B1A">
              <w:t xml:space="preserve">omptes rendus d’entretien </w:t>
            </w:r>
            <w:r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  <w:p w14:paraId="5162F22A" w14:textId="1D5A78FC" w:rsidR="001B3F29" w:rsidRPr="00957B1A" w:rsidRDefault="001B3F29" w:rsidP="001B3F29">
            <w:pPr>
              <w:rPr>
                <w:b/>
                <w:bCs/>
                <w:i/>
                <w:iCs/>
              </w:rPr>
            </w:pPr>
            <w:r w:rsidRPr="00957B1A">
              <w:t>-</w:t>
            </w:r>
            <w:r w:rsidRPr="00957B1A">
              <w:rPr>
                <w:b/>
                <w:bCs/>
                <w:i/>
                <w:iCs/>
              </w:rPr>
              <w:t xml:space="preserve"> </w:t>
            </w:r>
            <w:r w:rsidRPr="00957B1A">
              <w:t xml:space="preserve">Fiche projet d’activité </w:t>
            </w:r>
            <w:r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  <w:p w14:paraId="4BDCACBC" w14:textId="7271589D" w:rsidR="001B3F29" w:rsidRPr="00957B1A" w:rsidRDefault="001B3F29" w:rsidP="001B3F29">
            <w:r w:rsidRPr="00957B1A">
              <w:t xml:space="preserve">- Annexe 21 - Manuel pôle formation </w:t>
            </w:r>
            <w:r w:rsidRPr="00957B1A">
              <w:rPr>
                <w:b/>
                <w:bCs/>
                <w:i/>
                <w:iCs/>
              </w:rPr>
              <w:t>Yeswiki</w:t>
            </w:r>
          </w:p>
          <w:p w14:paraId="40B088A7" w14:textId="4B0266AB" w:rsidR="001B3F29" w:rsidRPr="00957B1A" w:rsidRDefault="001B3F29" w:rsidP="001B3F29">
            <w:pPr>
              <w:rPr>
                <w:b/>
                <w:bCs/>
                <w:i/>
                <w:iCs/>
              </w:rPr>
            </w:pPr>
            <w:r w:rsidRPr="00957B1A">
              <w:rPr>
                <w:i/>
                <w:iCs/>
              </w:rPr>
              <w:t xml:space="preserve">- </w:t>
            </w:r>
            <w:r w:rsidRPr="00957B1A">
              <w:t>Annexe 22 - Livret d’intégration des formateurs chez O10C</w:t>
            </w:r>
            <w:r w:rsidRPr="00957B1A">
              <w:rPr>
                <w:b/>
                <w:bCs/>
                <w:i/>
                <w:iCs/>
              </w:rPr>
              <w:t xml:space="preserve"> Yeswiki </w:t>
            </w:r>
          </w:p>
          <w:p w14:paraId="2F05AAD0" w14:textId="7009629D" w:rsidR="001B3F29" w:rsidRPr="00957B1A" w:rsidRDefault="001B3F29" w:rsidP="001B3F29">
            <w:pPr>
              <w:spacing w:after="0"/>
            </w:pPr>
            <w:r w:rsidRPr="00957B1A">
              <w:t xml:space="preserve">- Annexe 8 - Les obligations des formateurices </w:t>
            </w:r>
            <w:r w:rsidRPr="00957B1A">
              <w:rPr>
                <w:b/>
                <w:bCs/>
                <w:i/>
                <w:iCs/>
              </w:rPr>
              <w:t xml:space="preserve">Yeswiki </w:t>
            </w:r>
          </w:p>
          <w:p w14:paraId="4DA73733" w14:textId="639ECF9E" w:rsidR="001B3F29" w:rsidRPr="001B3F29" w:rsidRDefault="001B3F29" w:rsidP="001B3F29">
            <w:r>
              <w:t xml:space="preserve">- Annexe 5 - Prendre en main Formadmin </w:t>
            </w:r>
            <w:r w:rsidRPr="001F72D4">
              <w:rPr>
                <w:b/>
                <w:bCs/>
                <w:i/>
                <w:iCs/>
              </w:rPr>
              <w:t>Yeswiki</w:t>
            </w:r>
          </w:p>
        </w:tc>
      </w:tr>
      <w:tr w:rsidR="00963167" w14:paraId="766F1FCD" w14:textId="77777777" w:rsidTr="00135322">
        <w:tc>
          <w:tcPr>
            <w:tcW w:w="2302" w:type="dxa"/>
            <w:shd w:val="clear" w:color="auto" w:fill="D4DBF0"/>
            <w:vAlign w:val="center"/>
          </w:tcPr>
          <w:p w14:paraId="3F0B4442" w14:textId="3D75CF51" w:rsidR="00963167" w:rsidRDefault="00963167" w:rsidP="00D604D1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6C841C42" w14:textId="13D7223A" w:rsidR="00963167" w:rsidRDefault="00963167" w:rsidP="002E39AD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33D017F" w14:textId="271A9232" w:rsidR="00963167" w:rsidRDefault="00963167" w:rsidP="002E39AD">
            <w:pPr>
              <w:jc w:val="center"/>
            </w:pPr>
            <w:r>
              <w:t>Document</w:t>
            </w:r>
            <w:r w:rsidR="00CD1A8C">
              <w:t>s</w:t>
            </w:r>
            <w:r>
              <w:t xml:space="preserve"> / Localisation</w:t>
            </w:r>
          </w:p>
        </w:tc>
      </w:tr>
      <w:tr w:rsidR="00230965" w14:paraId="7043AA11" w14:textId="77777777" w:rsidTr="00135322">
        <w:tc>
          <w:tcPr>
            <w:tcW w:w="10207" w:type="dxa"/>
            <w:gridSpan w:val="6"/>
            <w:shd w:val="clear" w:color="auto" w:fill="344B95"/>
            <w:vAlign w:val="center"/>
          </w:tcPr>
          <w:p w14:paraId="0C7B4646" w14:textId="295DB198" w:rsidR="00230965" w:rsidRDefault="00230965" w:rsidP="00230965">
            <w:pPr>
              <w:jc w:val="center"/>
            </w:pPr>
            <w:r w:rsidRPr="00230965">
              <w:rPr>
                <w:color w:val="FFFFFF" w:themeColor="background1"/>
              </w:rPr>
              <w:t>ETAPE 1</w:t>
            </w:r>
            <w:r w:rsidR="00135322">
              <w:rPr>
                <w:color w:val="FFFFFF" w:themeColor="background1"/>
              </w:rPr>
              <w:t> : Au préalable</w:t>
            </w:r>
          </w:p>
        </w:tc>
      </w:tr>
      <w:tr w:rsidR="00963167" w14:paraId="62282F9F" w14:textId="77777777" w:rsidTr="00135322">
        <w:tc>
          <w:tcPr>
            <w:tcW w:w="2302" w:type="dxa"/>
            <w:shd w:val="clear" w:color="auto" w:fill="FFFFFF" w:themeFill="background1"/>
            <w:vAlign w:val="center"/>
          </w:tcPr>
          <w:p w14:paraId="552E312F" w14:textId="388EDE6A" w:rsidR="00662687" w:rsidRDefault="00963167" w:rsidP="00662687">
            <w:pPr>
              <w:jc w:val="center"/>
            </w:pPr>
            <w:r>
              <w:t>Entrepreneur.e</w:t>
            </w:r>
          </w:p>
          <w:p w14:paraId="3E75641F" w14:textId="77777777" w:rsidR="00662687" w:rsidRDefault="00662687" w:rsidP="00662687">
            <w:pPr>
              <w:jc w:val="center"/>
            </w:pPr>
          </w:p>
          <w:p w14:paraId="3D868B0F" w14:textId="3A4D319F" w:rsidR="00963167" w:rsidRPr="00662687" w:rsidRDefault="00662687" w:rsidP="00662687">
            <w:pPr>
              <w:jc w:val="center"/>
              <w:rPr>
                <w:i/>
                <w:iCs/>
              </w:rPr>
            </w:pPr>
            <w:r w:rsidRPr="00662687">
              <w:rPr>
                <w:i/>
                <w:iCs/>
              </w:rPr>
              <w:t>A</w:t>
            </w:r>
            <w:r w:rsidR="00963167" w:rsidRPr="00662687">
              <w:rPr>
                <w:i/>
                <w:iCs/>
              </w:rPr>
              <w:t xml:space="preserve"> son arrivée dans la CAE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6F767428" w14:textId="77777777" w:rsidR="00963167" w:rsidRDefault="00662687" w:rsidP="00CD1A8C">
            <w:r>
              <w:t xml:space="preserve">- </w:t>
            </w:r>
            <w:r w:rsidR="00880E88">
              <w:t xml:space="preserve">Au préalable, </w:t>
            </w:r>
            <w:proofErr w:type="gramStart"/>
            <w:r w:rsidR="00880E88">
              <w:t>l’entrepreneur.e</w:t>
            </w:r>
            <w:proofErr w:type="gramEnd"/>
            <w:r w:rsidR="00880E88">
              <w:t xml:space="preserve"> a suivi le parcours d’entrée au sein de la CAE (information collective, entretien individuel diagnostic projet, entretien comptable, étude de l’assurance</w:t>
            </w:r>
            <w:r w:rsidR="003C181D">
              <w:t>, intégration collective, signature du CAPE et du CACRE, étude de besoin avec le référent territoire)</w:t>
            </w:r>
            <w:r w:rsidR="00880E88">
              <w:t xml:space="preserve"> </w:t>
            </w:r>
          </w:p>
          <w:p w14:paraId="6D918FAB" w14:textId="2EECCF65" w:rsidR="00662687" w:rsidRDefault="00662687" w:rsidP="00CD1A8C">
            <w:r>
              <w:t>- Durant son parcours, il a émi</w:t>
            </w:r>
            <w:r w:rsidR="00CD1A8C">
              <w:t>s</w:t>
            </w:r>
            <w:r>
              <w:t xml:space="preserve"> le souhait de créer une offre de formation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632817B" w14:textId="77777777" w:rsidR="003C181D" w:rsidRDefault="003C181D" w:rsidP="003C181D">
            <w:pPr>
              <w:rPr>
                <w:b/>
                <w:bCs/>
                <w:i/>
                <w:iCs/>
              </w:rPr>
            </w:pPr>
            <w:r>
              <w:t xml:space="preserve">- Annexe 20 – Parcours </w:t>
            </w:r>
            <w:proofErr w:type="gramStart"/>
            <w:r>
              <w:t>d’un.e</w:t>
            </w:r>
            <w:proofErr w:type="gramEnd"/>
            <w:r>
              <w:t xml:space="preserve"> formateurice chez O10C</w:t>
            </w:r>
            <w:r w:rsidR="00CD1A8C">
              <w:t xml:space="preserve"> </w:t>
            </w:r>
            <w:r w:rsidRPr="003C181D">
              <w:rPr>
                <w:b/>
                <w:bCs/>
                <w:i/>
                <w:iCs/>
              </w:rPr>
              <w:t>Yeswiki</w:t>
            </w:r>
          </w:p>
          <w:p w14:paraId="4E2B4E23" w14:textId="410E26BB" w:rsidR="00CD1A8C" w:rsidRPr="00957B1A" w:rsidRDefault="00CD1A8C" w:rsidP="003C18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957B1A">
              <w:t>Emargements participations aux actions d’intégration</w:t>
            </w:r>
            <w:r w:rsidRPr="00957B1A">
              <w:rPr>
                <w:b/>
                <w:bCs/>
                <w:i/>
                <w:iCs/>
              </w:rPr>
              <w:t xml:space="preserve"> 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  <w:p w14:paraId="04418F6E" w14:textId="69E9787F" w:rsidR="00CD1A8C" w:rsidRPr="00CD1A8C" w:rsidRDefault="00CD1A8C" w:rsidP="001B3F29">
            <w:r w:rsidRPr="00957B1A">
              <w:t xml:space="preserve">- Comptes rendus d’entretiens </w:t>
            </w:r>
            <w:r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</w:tc>
      </w:tr>
      <w:tr w:rsidR="00963167" w14:paraId="37EE1DB6" w14:textId="77777777" w:rsidTr="00135322">
        <w:tc>
          <w:tcPr>
            <w:tcW w:w="2302" w:type="dxa"/>
            <w:shd w:val="clear" w:color="auto" w:fill="FFFFFF" w:themeFill="background1"/>
          </w:tcPr>
          <w:p w14:paraId="09350B80" w14:textId="0253CD10" w:rsidR="00963167" w:rsidRDefault="00662687" w:rsidP="003A3D6D">
            <w:pPr>
              <w:jc w:val="center"/>
            </w:pPr>
            <w:r>
              <w:t>Référente territoire</w:t>
            </w:r>
          </w:p>
          <w:p w14:paraId="47A58878" w14:textId="34712F7F" w:rsidR="007B1CB5" w:rsidRDefault="007B1CB5" w:rsidP="003A3D6D">
            <w:pPr>
              <w:jc w:val="center"/>
            </w:pPr>
          </w:p>
          <w:p w14:paraId="7537F50C" w14:textId="3056102E" w:rsidR="007B1CB5" w:rsidRDefault="007B1CB5" w:rsidP="003A3D6D">
            <w:pPr>
              <w:jc w:val="center"/>
            </w:pPr>
            <w:r>
              <w:t>Coordinatrice pédagogique</w:t>
            </w:r>
          </w:p>
          <w:p w14:paraId="570DE603" w14:textId="77777777" w:rsidR="00CD1A8C" w:rsidRDefault="00CD1A8C" w:rsidP="005C0372"/>
          <w:p w14:paraId="10821C54" w14:textId="77777777" w:rsidR="00662687" w:rsidRDefault="00662687" w:rsidP="005C0372">
            <w:pPr>
              <w:rPr>
                <w:i/>
                <w:iCs/>
              </w:rPr>
            </w:pPr>
            <w:r w:rsidRPr="00CD1A8C">
              <w:rPr>
                <w:i/>
                <w:iCs/>
              </w:rPr>
              <w:t>Entretien individuel</w:t>
            </w:r>
            <w:r w:rsidR="00CD1A8C" w:rsidRPr="00CD1A8C">
              <w:rPr>
                <w:i/>
                <w:iCs/>
              </w:rPr>
              <w:t xml:space="preserve"> sur l’étude des besoins</w:t>
            </w:r>
          </w:p>
          <w:p w14:paraId="1C09AE96" w14:textId="77777777" w:rsidR="00135322" w:rsidRDefault="00135322" w:rsidP="005C0372">
            <w:pPr>
              <w:rPr>
                <w:i/>
                <w:iCs/>
              </w:rPr>
            </w:pPr>
          </w:p>
          <w:p w14:paraId="08EADE19" w14:textId="6A856F3F" w:rsidR="00135322" w:rsidRPr="00CD1A8C" w:rsidRDefault="00135322" w:rsidP="005C0372">
            <w:pPr>
              <w:rPr>
                <w:i/>
                <w:iCs/>
              </w:rPr>
            </w:pP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3B934F73" w14:textId="1D8C2369" w:rsidR="007B1CB5" w:rsidRDefault="00CD1A8C" w:rsidP="00CD1A8C">
            <w:pPr>
              <w:ind w:left="3"/>
            </w:pPr>
            <w:r>
              <w:lastRenderedPageBreak/>
              <w:t xml:space="preserve">- A l’issue de l’entretien sur l’étude des besoins, la référente territoire met en relation </w:t>
            </w:r>
            <w:proofErr w:type="gramStart"/>
            <w:r>
              <w:t>l’entrepreneur.e</w:t>
            </w:r>
            <w:proofErr w:type="gramEnd"/>
            <w:r>
              <w:t xml:space="preserve"> avec la coordinatrice pédagogique </w:t>
            </w:r>
            <w:r w:rsidR="007B1CB5">
              <w:t>par</w:t>
            </w:r>
            <w:r>
              <w:t xml:space="preserve"> mail</w:t>
            </w:r>
            <w:r w:rsidR="008E6BC0">
              <w:t xml:space="preserve"> et transmet la fiche projet d’activité</w:t>
            </w:r>
          </w:p>
          <w:p w14:paraId="35570F45" w14:textId="45F604C5" w:rsidR="00963167" w:rsidRDefault="007B1CB5" w:rsidP="00CD1A8C">
            <w:pPr>
              <w:ind w:left="3"/>
            </w:pPr>
            <w:r>
              <w:t>-</w:t>
            </w:r>
            <w:r w:rsidR="008E6BC0">
              <w:t xml:space="preserve"> La coordinatrice p</w:t>
            </w:r>
            <w:r>
              <w:t xml:space="preserve">ropose un entretien individuel à </w:t>
            </w:r>
            <w:proofErr w:type="gramStart"/>
            <w:r>
              <w:t>l’entrepreneur.e</w:t>
            </w:r>
            <w:proofErr w:type="gramEnd"/>
            <w:r w:rsidR="00CD1A8C"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C33B561" w14:textId="56F7DA07" w:rsidR="00963167" w:rsidRPr="00957B1A" w:rsidRDefault="00CD1A8C" w:rsidP="005C0372">
            <w:pPr>
              <w:rPr>
                <w:b/>
                <w:bCs/>
                <w:i/>
                <w:iCs/>
              </w:rPr>
            </w:pPr>
            <w:r w:rsidRPr="00CD1A8C">
              <w:t xml:space="preserve">- </w:t>
            </w:r>
            <w:r>
              <w:t xml:space="preserve">Comptes rendus </w:t>
            </w:r>
            <w:r w:rsidRPr="00957B1A">
              <w:t xml:space="preserve">d’entretiens </w:t>
            </w:r>
            <w:r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  <w:p w14:paraId="348C7B5F" w14:textId="77777777" w:rsidR="007B1CB5" w:rsidRPr="00957B1A" w:rsidRDefault="007B1CB5" w:rsidP="005C0372">
            <w:pPr>
              <w:rPr>
                <w:b/>
                <w:bCs/>
                <w:i/>
                <w:iCs/>
              </w:rPr>
            </w:pPr>
          </w:p>
          <w:p w14:paraId="60D892E3" w14:textId="77777777" w:rsidR="008E6BC0" w:rsidRPr="00957B1A" w:rsidRDefault="007B1CB5" w:rsidP="005C0372">
            <w:r w:rsidRPr="00957B1A">
              <w:rPr>
                <w:b/>
                <w:bCs/>
                <w:i/>
                <w:iCs/>
              </w:rPr>
              <w:t xml:space="preserve">- </w:t>
            </w:r>
            <w:r w:rsidRPr="00957B1A">
              <w:t xml:space="preserve">Fiche projet </w:t>
            </w:r>
            <w:r w:rsidR="008E6BC0" w:rsidRPr="00957B1A">
              <w:t xml:space="preserve">d’activité </w:t>
            </w:r>
          </w:p>
          <w:p w14:paraId="67F187A8" w14:textId="3D17D94B" w:rsidR="007B1CB5" w:rsidRPr="008E6BC0" w:rsidRDefault="008E6BC0" w:rsidP="005C0372">
            <w:pPr>
              <w:rPr>
                <w:b/>
                <w:bCs/>
                <w:i/>
                <w:iCs/>
              </w:rPr>
            </w:pPr>
            <w:r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</w:tc>
      </w:tr>
      <w:tr w:rsidR="00230965" w14:paraId="1DFB7BFB" w14:textId="77777777" w:rsidTr="00135322">
        <w:tc>
          <w:tcPr>
            <w:tcW w:w="10207" w:type="dxa"/>
            <w:gridSpan w:val="6"/>
            <w:shd w:val="clear" w:color="auto" w:fill="344B95"/>
          </w:tcPr>
          <w:p w14:paraId="1A8FE972" w14:textId="463A4ACF" w:rsidR="00230965" w:rsidRPr="00230965" w:rsidRDefault="00230965" w:rsidP="00230965">
            <w:pPr>
              <w:jc w:val="center"/>
              <w:rPr>
                <w:color w:val="FFFFFF" w:themeColor="background1"/>
              </w:rPr>
            </w:pPr>
            <w:r w:rsidRPr="00230965">
              <w:rPr>
                <w:color w:val="FFFFFF" w:themeColor="background1"/>
              </w:rPr>
              <w:t>ETAPE 2</w:t>
            </w:r>
            <w:r w:rsidR="00135322">
              <w:rPr>
                <w:color w:val="FFFFFF" w:themeColor="background1"/>
              </w:rPr>
              <w:t> : Intégration dans le pôle</w:t>
            </w:r>
          </w:p>
        </w:tc>
      </w:tr>
      <w:tr w:rsidR="00963167" w14:paraId="1B46BD25" w14:textId="77777777" w:rsidTr="00135322">
        <w:tc>
          <w:tcPr>
            <w:tcW w:w="2302" w:type="dxa"/>
            <w:shd w:val="clear" w:color="auto" w:fill="FFFFFF" w:themeFill="background1"/>
          </w:tcPr>
          <w:p w14:paraId="43C00403" w14:textId="3E459AFB" w:rsidR="00963167" w:rsidRDefault="00963167" w:rsidP="003803AB">
            <w:pPr>
              <w:jc w:val="center"/>
            </w:pPr>
            <w:r>
              <w:t>Coordinat</w:t>
            </w:r>
            <w:r w:rsidR="00CD1A8C">
              <w:t xml:space="preserve">rice </w:t>
            </w:r>
            <w:r>
              <w:t>pédagogique</w:t>
            </w:r>
          </w:p>
          <w:p w14:paraId="0F575CBD" w14:textId="258D7210" w:rsidR="009F1942" w:rsidRDefault="009F1942" w:rsidP="003803AB">
            <w:pPr>
              <w:jc w:val="center"/>
            </w:pPr>
          </w:p>
          <w:p w14:paraId="3E5D9A84" w14:textId="7BFCFF7C" w:rsidR="009F1942" w:rsidRDefault="009F1942" w:rsidP="003803AB">
            <w:pPr>
              <w:jc w:val="center"/>
            </w:pPr>
            <w:r>
              <w:t>Entrepreneur/formateur</w:t>
            </w:r>
          </w:p>
          <w:p w14:paraId="5643FBD1" w14:textId="77777777" w:rsidR="007B1CB5" w:rsidRDefault="007B1CB5" w:rsidP="005C0372"/>
          <w:p w14:paraId="2024044B" w14:textId="098618D2" w:rsidR="007B1CB5" w:rsidRPr="00230965" w:rsidRDefault="007B1CB5" w:rsidP="003803AB">
            <w:pPr>
              <w:jc w:val="center"/>
              <w:rPr>
                <w:i/>
                <w:iCs/>
              </w:rPr>
            </w:pPr>
            <w:r w:rsidRPr="00230965">
              <w:rPr>
                <w:i/>
                <w:iCs/>
              </w:rPr>
              <w:t>Entretien individuel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71720552" w14:textId="203F6A5D" w:rsidR="009F1942" w:rsidRDefault="009F1942" w:rsidP="008E6BC0">
            <w:r>
              <w:t>- Au cours de l’entretien, l’entrepreneur présente son projet de formation pour une validation commune de la viabilité du projet au regard des exigences législatives.</w:t>
            </w:r>
          </w:p>
          <w:p w14:paraId="5A598683" w14:textId="57A9982A" w:rsidR="009F1942" w:rsidRDefault="009F1942" w:rsidP="008E6BC0">
            <w:r>
              <w:t>- La coordinatrice pédagogique :</w:t>
            </w:r>
          </w:p>
          <w:p w14:paraId="19C445CD" w14:textId="2AB7703C" w:rsidR="008E6BC0" w:rsidRDefault="008E6BC0" w:rsidP="009F1942">
            <w:pPr>
              <w:ind w:left="286"/>
            </w:pPr>
            <w:r>
              <w:t xml:space="preserve">- </w:t>
            </w:r>
            <w:r w:rsidR="00963167">
              <w:t>Présente le « manuel</w:t>
            </w:r>
            <w:r>
              <w:t xml:space="preserve"> pôle formation</w:t>
            </w:r>
            <w:r w:rsidR="007B1CB5">
              <w:t> »</w:t>
            </w:r>
          </w:p>
          <w:p w14:paraId="2764E8D7" w14:textId="664FA732" w:rsidR="00A755DC" w:rsidRDefault="008E6BC0" w:rsidP="00A755DC">
            <w:pPr>
              <w:ind w:left="286"/>
            </w:pPr>
            <w:r>
              <w:t xml:space="preserve">- </w:t>
            </w:r>
            <w:r w:rsidR="00A755DC">
              <w:t>Fourni</w:t>
            </w:r>
            <w:r w:rsidR="00135322">
              <w:t>t</w:t>
            </w:r>
            <w:r w:rsidR="00230965">
              <w:t xml:space="preserve"> le livret d’intégration des formateurs chez O10C</w:t>
            </w:r>
            <w:r w:rsidR="00A755DC">
              <w:t xml:space="preserve"> (A22) </w:t>
            </w:r>
          </w:p>
          <w:p w14:paraId="322E4DD9" w14:textId="18CE0388" w:rsidR="00A755DC" w:rsidRDefault="00A755DC" w:rsidP="00A755DC">
            <w:pPr>
              <w:ind w:left="286"/>
            </w:pPr>
            <w:r>
              <w:t>- Fourni</w:t>
            </w:r>
            <w:r w:rsidR="00135322">
              <w:t>t</w:t>
            </w:r>
            <w:r>
              <w:t xml:space="preserve"> le document des obligations des formateurs (A8)</w:t>
            </w:r>
          </w:p>
          <w:p w14:paraId="2C9D5B2D" w14:textId="77777777" w:rsidR="001F72D4" w:rsidRDefault="001F72D4" w:rsidP="00A755DC">
            <w:pPr>
              <w:ind w:left="286"/>
            </w:pPr>
            <w:r>
              <w:t>- Fourni</w:t>
            </w:r>
            <w:r w:rsidR="00135322">
              <w:t>t</w:t>
            </w:r>
            <w:r>
              <w:t xml:space="preserve"> le document de prise en main du Formadmin (A5)</w:t>
            </w:r>
          </w:p>
          <w:p w14:paraId="76EC2913" w14:textId="2E032750" w:rsidR="002B7A27" w:rsidRDefault="002B7A27" w:rsidP="002B7A27">
            <w:r>
              <w:t xml:space="preserve">- Fournit le </w:t>
            </w:r>
            <w:r w:rsidRPr="005A77F7">
              <w:t>Contrat relationnel du pôle formation</w:t>
            </w:r>
            <w:r>
              <w:t xml:space="preserve"> (A7)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CA06CE2" w14:textId="77777777" w:rsidR="00963167" w:rsidRDefault="008E6BC0" w:rsidP="005C0372">
            <w:r>
              <w:t>- Annexe 21 – Manuel pôle formation</w:t>
            </w:r>
          </w:p>
          <w:p w14:paraId="348E2ED6" w14:textId="77777777" w:rsidR="008E6BC0" w:rsidRDefault="008E6BC0" w:rsidP="005C0372">
            <w:pPr>
              <w:rPr>
                <w:b/>
                <w:bCs/>
                <w:i/>
                <w:iCs/>
              </w:rPr>
            </w:pPr>
            <w:r w:rsidRPr="008E6BC0">
              <w:rPr>
                <w:b/>
                <w:bCs/>
                <w:i/>
                <w:iCs/>
              </w:rPr>
              <w:t>Yeswiki</w:t>
            </w:r>
          </w:p>
          <w:p w14:paraId="4300347F" w14:textId="77777777" w:rsidR="00230965" w:rsidRDefault="00230965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Pr="00230965">
              <w:t>Annexe 22 – Livret d’intégration des formateurs chez O10C</w:t>
            </w:r>
          </w:p>
          <w:p w14:paraId="288E30FF" w14:textId="77777777" w:rsidR="00230965" w:rsidRDefault="00230965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Yeswiki </w:t>
            </w:r>
          </w:p>
          <w:p w14:paraId="71FA72E9" w14:textId="65374299" w:rsidR="00A755DC" w:rsidRDefault="00A755DC" w:rsidP="00A755DC">
            <w:pPr>
              <w:spacing w:after="0"/>
            </w:pPr>
            <w:r>
              <w:t>- Annexe 8 - Les obligations des formateurices</w:t>
            </w:r>
          </w:p>
          <w:p w14:paraId="142AF286" w14:textId="77777777" w:rsidR="00A755DC" w:rsidRDefault="00A755DC" w:rsidP="005C03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Yeswiki </w:t>
            </w:r>
          </w:p>
          <w:p w14:paraId="3A5A799D" w14:textId="77777777" w:rsidR="00A755DC" w:rsidRDefault="001F72D4" w:rsidP="005C0372">
            <w:r>
              <w:t>- Annexe 5 - Prendre en main Formadmin</w:t>
            </w:r>
          </w:p>
          <w:p w14:paraId="0E0A0173" w14:textId="77777777" w:rsidR="001B3F29" w:rsidRDefault="001F72D4" w:rsidP="001B3F29">
            <w:pPr>
              <w:rPr>
                <w:b/>
                <w:bCs/>
                <w:i/>
                <w:iCs/>
              </w:rPr>
            </w:pPr>
            <w:r w:rsidRPr="001F72D4">
              <w:rPr>
                <w:b/>
                <w:bCs/>
                <w:i/>
                <w:iCs/>
              </w:rPr>
              <w:t>Yeswiki</w:t>
            </w:r>
          </w:p>
          <w:p w14:paraId="1CDB37CD" w14:textId="0CF0D437" w:rsidR="001B3F29" w:rsidRPr="00957B1A" w:rsidRDefault="001B3F29" w:rsidP="001B3F29">
            <w:r w:rsidRPr="00A755DC">
              <w:t xml:space="preserve">- Compte rendu </w:t>
            </w:r>
            <w:r w:rsidRPr="00957B1A">
              <w:t>d’entretien</w:t>
            </w:r>
          </w:p>
          <w:p w14:paraId="20F882AD" w14:textId="4A08032D" w:rsidR="001B3F29" w:rsidRDefault="001B3F29" w:rsidP="001B3F29">
            <w:pPr>
              <w:rPr>
                <w:b/>
                <w:bCs/>
                <w:i/>
                <w:iCs/>
              </w:rPr>
            </w:pPr>
            <w:r w:rsidRPr="00957B1A">
              <w:rPr>
                <w:b/>
                <w:bCs/>
                <w:i/>
                <w:iCs/>
              </w:rPr>
              <w:t>Winscop</w:t>
            </w:r>
            <w:r w:rsidR="004152E4" w:rsidRPr="00957B1A">
              <w:rPr>
                <w:b/>
                <w:bCs/>
                <w:i/>
                <w:iCs/>
              </w:rPr>
              <w:t>/ENDI</w:t>
            </w:r>
          </w:p>
          <w:p w14:paraId="208B9E63" w14:textId="77777777" w:rsidR="002B7A27" w:rsidRPr="005A77F7" w:rsidRDefault="002B7A27" w:rsidP="002B7A27">
            <w:r w:rsidRPr="005A77F7">
              <w:t>- Annexe 7 - Contrat relationnel du pôle formation</w:t>
            </w:r>
          </w:p>
          <w:p w14:paraId="306EAA64" w14:textId="27481090" w:rsidR="002B7A27" w:rsidRPr="00957B1A" w:rsidRDefault="002B7A27" w:rsidP="002B7A27">
            <w:r>
              <w:rPr>
                <w:b/>
                <w:bCs/>
                <w:i/>
                <w:iCs/>
              </w:rPr>
              <w:t>Yeswiki</w:t>
            </w:r>
          </w:p>
          <w:p w14:paraId="5CF0C1C6" w14:textId="78B9DA18" w:rsidR="001F72D4" w:rsidRPr="001F72D4" w:rsidRDefault="001F72D4" w:rsidP="005C0372">
            <w:pPr>
              <w:rPr>
                <w:b/>
                <w:bCs/>
                <w:i/>
                <w:iCs/>
              </w:rPr>
            </w:pPr>
          </w:p>
        </w:tc>
      </w:tr>
      <w:tr w:rsidR="00A755DC" w14:paraId="02DD13BA" w14:textId="77777777" w:rsidTr="00135322">
        <w:tc>
          <w:tcPr>
            <w:tcW w:w="2302" w:type="dxa"/>
            <w:shd w:val="clear" w:color="auto" w:fill="FFFFFF" w:themeFill="background1"/>
          </w:tcPr>
          <w:p w14:paraId="72192E87" w14:textId="77777777" w:rsidR="00A755DC" w:rsidRDefault="00A755DC" w:rsidP="00947CFE">
            <w:pPr>
              <w:jc w:val="center"/>
            </w:pPr>
            <w:r>
              <w:t>Coordinatrice pédagogique</w:t>
            </w:r>
          </w:p>
          <w:p w14:paraId="6374F1E8" w14:textId="77777777" w:rsidR="00A755DC" w:rsidRDefault="00A755DC" w:rsidP="005C0372"/>
          <w:p w14:paraId="03D303B8" w14:textId="6F58002B" w:rsidR="00A755DC" w:rsidRPr="00A755DC" w:rsidRDefault="00A755DC" w:rsidP="005C0372">
            <w:pPr>
              <w:rPr>
                <w:i/>
                <w:iCs/>
              </w:rPr>
            </w:pPr>
            <w:r w:rsidRPr="00A755DC">
              <w:rPr>
                <w:i/>
                <w:iCs/>
              </w:rPr>
              <w:t>A l’issue de l’entretien individuel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0DF263F9" w14:textId="77777777" w:rsidR="00A755DC" w:rsidRDefault="00A755DC" w:rsidP="00A755DC">
            <w:pPr>
              <w:ind w:left="3"/>
            </w:pPr>
            <w:r>
              <w:t>- Inscrit le formateur dans la framaliste pour qu’il reçoive les informations du pôle</w:t>
            </w:r>
          </w:p>
          <w:p w14:paraId="5D253761" w14:textId="77777777" w:rsidR="00A755DC" w:rsidRPr="00957B1A" w:rsidRDefault="00A755DC" w:rsidP="00A755DC">
            <w:r>
              <w:t xml:space="preserve">- </w:t>
            </w:r>
            <w:r w:rsidRPr="00957B1A">
              <w:t>Créé un espace personnel dans le formadmin</w:t>
            </w:r>
          </w:p>
          <w:p w14:paraId="20C4966B" w14:textId="78F6CEBC" w:rsidR="004152E4" w:rsidRPr="004152E4" w:rsidRDefault="004152E4" w:rsidP="00A755DC">
            <w:r w:rsidRPr="00957B1A">
              <w:t>- Edite un compte-rendu d’accompagnement/suivi dans sous Winscop</w:t>
            </w:r>
            <w:r w:rsidRPr="00957B1A">
              <w:rPr>
                <w:b/>
                <w:bCs/>
              </w:rPr>
              <w:t>/ENDI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0CB5087" w14:textId="77777777" w:rsidR="00A755DC" w:rsidRDefault="00A755DC" w:rsidP="005C0372"/>
        </w:tc>
      </w:tr>
      <w:tr w:rsidR="00135322" w14:paraId="410DDD66" w14:textId="77777777" w:rsidTr="009254A9">
        <w:tc>
          <w:tcPr>
            <w:tcW w:w="2302" w:type="dxa"/>
          </w:tcPr>
          <w:p w14:paraId="74F1AD28" w14:textId="77777777" w:rsidR="00135322" w:rsidRDefault="00135322" w:rsidP="00947CFE">
            <w:pPr>
              <w:jc w:val="center"/>
            </w:pPr>
            <w:r>
              <w:t>Entrepreneur/formateur</w:t>
            </w:r>
          </w:p>
          <w:p w14:paraId="764A8163" w14:textId="14B5D39D" w:rsidR="00135322" w:rsidRDefault="00135322" w:rsidP="005C0372">
            <w:r w:rsidRPr="00A755DC">
              <w:rPr>
                <w:i/>
                <w:iCs/>
              </w:rPr>
              <w:t>A l’issue de l’entretien individuel</w:t>
            </w:r>
          </w:p>
        </w:tc>
        <w:tc>
          <w:tcPr>
            <w:tcW w:w="5637" w:type="dxa"/>
            <w:gridSpan w:val="3"/>
          </w:tcPr>
          <w:p w14:paraId="31EB218D" w14:textId="77777777" w:rsidR="00135322" w:rsidRDefault="00135322" w:rsidP="005C0372">
            <w:r>
              <w:t>- Lit les documents fournis par la coordinatrice pédagogique</w:t>
            </w:r>
          </w:p>
          <w:p w14:paraId="438B09E0" w14:textId="56515E96" w:rsidR="00135322" w:rsidRDefault="00135322" w:rsidP="005C0372">
            <w:r>
              <w:t xml:space="preserve">- </w:t>
            </w:r>
            <w:r w:rsidR="00C127F1">
              <w:t>Paramètre et c</w:t>
            </w:r>
            <w:r>
              <w:t>omplète son espace formateur dans le Formadmin (C</w:t>
            </w:r>
            <w:r w:rsidR="00C127F1">
              <w:t>V</w:t>
            </w:r>
            <w:r>
              <w:t xml:space="preserve"> à jour et diplômes/formations)</w:t>
            </w:r>
          </w:p>
        </w:tc>
        <w:tc>
          <w:tcPr>
            <w:tcW w:w="2268" w:type="dxa"/>
            <w:gridSpan w:val="2"/>
          </w:tcPr>
          <w:p w14:paraId="48069EFB" w14:textId="77777777" w:rsidR="00135322" w:rsidRDefault="00135322" w:rsidP="005C0372"/>
        </w:tc>
      </w:tr>
    </w:tbl>
    <w:p w14:paraId="7B27C4BF" w14:textId="77777777" w:rsidR="00974DB8" w:rsidRPr="00565E4C" w:rsidRDefault="00974DB8" w:rsidP="005C0372"/>
    <w:sectPr w:rsidR="00974DB8" w:rsidRPr="00565E4C" w:rsidSect="007C64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33E7" w14:textId="77777777" w:rsidR="0054401E" w:rsidRDefault="0054401E" w:rsidP="006522C1">
      <w:r>
        <w:separator/>
      </w:r>
    </w:p>
  </w:endnote>
  <w:endnote w:type="continuationSeparator" w:id="0">
    <w:p w14:paraId="66D68B92" w14:textId="77777777" w:rsidR="0054401E" w:rsidRDefault="0054401E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803540"/>
      <w:docPartObj>
        <w:docPartGallery w:val="Page Numbers (Bottom of Page)"/>
        <w:docPartUnique/>
      </w:docPartObj>
    </w:sdtPr>
    <w:sdtEndPr/>
    <w:sdtContent>
      <w:sdt>
        <w:sdtPr>
          <w:id w:val="-4252433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2A4CAA17" w14:textId="77777777" w:rsidR="007C6458" w:rsidRDefault="007C6458" w:rsidP="007C6458">
                <w:pPr>
                  <w:pStyle w:val="Pieddepage"/>
                  <w:jc w:val="right"/>
                </w:pPr>
                <w:r>
                  <w:t xml:space="preserve">Page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  <w:r>
                  <w:t xml:space="preserve"> sur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>
                  <w:rPr>
                    <w:b/>
                    <w:bCs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14:paraId="3E3A8D85" w14:textId="1091B9B6" w:rsidR="00DE45C5" w:rsidRDefault="007C6458" w:rsidP="007C6458">
        <w:pPr>
          <w:pStyle w:val="Pieddepage"/>
        </w:pPr>
        <w:r>
          <w:t>P1 – Intégrer le pôle formation. V1 – 03.06.2021</w:t>
        </w:r>
      </w:p>
    </w:sdtContent>
  </w:sdt>
  <w:p w14:paraId="6753F218" w14:textId="77777777" w:rsidR="00EB5045" w:rsidRDefault="00EB50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52AA" w14:textId="77777777" w:rsidR="0054401E" w:rsidRDefault="0054401E" w:rsidP="006522C1">
      <w:r>
        <w:separator/>
      </w:r>
    </w:p>
  </w:footnote>
  <w:footnote w:type="continuationSeparator" w:id="0">
    <w:p w14:paraId="6F2D07E1" w14:textId="77777777" w:rsidR="0054401E" w:rsidRDefault="0054401E" w:rsidP="006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24320"/>
    <w:multiLevelType w:val="hybridMultilevel"/>
    <w:tmpl w:val="2F2AADCC"/>
    <w:lvl w:ilvl="0" w:tplc="304C4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258EE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E07FB"/>
    <w:rsid w:val="000E32BA"/>
    <w:rsid w:val="000E4803"/>
    <w:rsid w:val="00104CDA"/>
    <w:rsid w:val="00121391"/>
    <w:rsid w:val="00123E89"/>
    <w:rsid w:val="00135322"/>
    <w:rsid w:val="0014245B"/>
    <w:rsid w:val="00155CE2"/>
    <w:rsid w:val="00172461"/>
    <w:rsid w:val="001A66F0"/>
    <w:rsid w:val="001B3F29"/>
    <w:rsid w:val="001D0BE8"/>
    <w:rsid w:val="001E1D38"/>
    <w:rsid w:val="001F163C"/>
    <w:rsid w:val="001F2ABA"/>
    <w:rsid w:val="001F4823"/>
    <w:rsid w:val="001F72D4"/>
    <w:rsid w:val="00210880"/>
    <w:rsid w:val="00221F57"/>
    <w:rsid w:val="00230965"/>
    <w:rsid w:val="00235A12"/>
    <w:rsid w:val="00251D3D"/>
    <w:rsid w:val="00255054"/>
    <w:rsid w:val="002900E8"/>
    <w:rsid w:val="002B7A27"/>
    <w:rsid w:val="002D4F8D"/>
    <w:rsid w:val="002E2518"/>
    <w:rsid w:val="002E39AD"/>
    <w:rsid w:val="00333F0E"/>
    <w:rsid w:val="00336F45"/>
    <w:rsid w:val="003410FF"/>
    <w:rsid w:val="00353780"/>
    <w:rsid w:val="003803AB"/>
    <w:rsid w:val="00383DD0"/>
    <w:rsid w:val="003A0E0C"/>
    <w:rsid w:val="003A3D6D"/>
    <w:rsid w:val="003A3FF8"/>
    <w:rsid w:val="003B2AA5"/>
    <w:rsid w:val="003C181D"/>
    <w:rsid w:val="003C2FBA"/>
    <w:rsid w:val="003C4C75"/>
    <w:rsid w:val="003E01EA"/>
    <w:rsid w:val="003E3D1F"/>
    <w:rsid w:val="003E5576"/>
    <w:rsid w:val="004152E4"/>
    <w:rsid w:val="004250DE"/>
    <w:rsid w:val="004548F6"/>
    <w:rsid w:val="004A51FF"/>
    <w:rsid w:val="004B197D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401E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966B9"/>
    <w:rsid w:val="005A1EDF"/>
    <w:rsid w:val="005B2335"/>
    <w:rsid w:val="005C0372"/>
    <w:rsid w:val="005C5FE1"/>
    <w:rsid w:val="0060072A"/>
    <w:rsid w:val="006132E8"/>
    <w:rsid w:val="00615714"/>
    <w:rsid w:val="0061781F"/>
    <w:rsid w:val="00627BEC"/>
    <w:rsid w:val="0063331D"/>
    <w:rsid w:val="006522C1"/>
    <w:rsid w:val="006560B1"/>
    <w:rsid w:val="00662687"/>
    <w:rsid w:val="00685148"/>
    <w:rsid w:val="00697C21"/>
    <w:rsid w:val="006A537A"/>
    <w:rsid w:val="006D3C24"/>
    <w:rsid w:val="006E4153"/>
    <w:rsid w:val="006F40C6"/>
    <w:rsid w:val="00716F6B"/>
    <w:rsid w:val="0072460C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28E"/>
    <w:rsid w:val="007B1CB5"/>
    <w:rsid w:val="007C6458"/>
    <w:rsid w:val="007D1CC8"/>
    <w:rsid w:val="00806E32"/>
    <w:rsid w:val="0080752D"/>
    <w:rsid w:val="00823809"/>
    <w:rsid w:val="008259B7"/>
    <w:rsid w:val="00830126"/>
    <w:rsid w:val="0083339D"/>
    <w:rsid w:val="00855BAD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7745"/>
    <w:rsid w:val="00917F5A"/>
    <w:rsid w:val="00942FE0"/>
    <w:rsid w:val="00943250"/>
    <w:rsid w:val="00947CFE"/>
    <w:rsid w:val="009554D4"/>
    <w:rsid w:val="00956D77"/>
    <w:rsid w:val="00957B1A"/>
    <w:rsid w:val="00963167"/>
    <w:rsid w:val="00971030"/>
    <w:rsid w:val="00974DB8"/>
    <w:rsid w:val="00985872"/>
    <w:rsid w:val="00990B2E"/>
    <w:rsid w:val="009A145D"/>
    <w:rsid w:val="009A4AE1"/>
    <w:rsid w:val="009C3D3D"/>
    <w:rsid w:val="009C6ABA"/>
    <w:rsid w:val="009E2E8E"/>
    <w:rsid w:val="009E530B"/>
    <w:rsid w:val="009F04ED"/>
    <w:rsid w:val="009F1942"/>
    <w:rsid w:val="00A3191E"/>
    <w:rsid w:val="00A34ADC"/>
    <w:rsid w:val="00A45335"/>
    <w:rsid w:val="00A53E41"/>
    <w:rsid w:val="00A57EE2"/>
    <w:rsid w:val="00A67EDF"/>
    <w:rsid w:val="00A755DC"/>
    <w:rsid w:val="00A76F1B"/>
    <w:rsid w:val="00A84EA0"/>
    <w:rsid w:val="00AA3E41"/>
    <w:rsid w:val="00AA652C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56FCA"/>
    <w:rsid w:val="00B711A4"/>
    <w:rsid w:val="00B72AD9"/>
    <w:rsid w:val="00B73BAB"/>
    <w:rsid w:val="00BB0F45"/>
    <w:rsid w:val="00BB4716"/>
    <w:rsid w:val="00BB7DCB"/>
    <w:rsid w:val="00BC0198"/>
    <w:rsid w:val="00BC1138"/>
    <w:rsid w:val="00BC5C69"/>
    <w:rsid w:val="00BC710F"/>
    <w:rsid w:val="00BD77DF"/>
    <w:rsid w:val="00BF06C9"/>
    <w:rsid w:val="00C05CB7"/>
    <w:rsid w:val="00C127F1"/>
    <w:rsid w:val="00C25695"/>
    <w:rsid w:val="00C27FB4"/>
    <w:rsid w:val="00C41540"/>
    <w:rsid w:val="00C50779"/>
    <w:rsid w:val="00C80681"/>
    <w:rsid w:val="00CB0EC2"/>
    <w:rsid w:val="00CB675E"/>
    <w:rsid w:val="00CC3B26"/>
    <w:rsid w:val="00CD1A8C"/>
    <w:rsid w:val="00CD1CB7"/>
    <w:rsid w:val="00D17A45"/>
    <w:rsid w:val="00D210B3"/>
    <w:rsid w:val="00D30D9B"/>
    <w:rsid w:val="00D604D1"/>
    <w:rsid w:val="00D7564A"/>
    <w:rsid w:val="00D87B03"/>
    <w:rsid w:val="00DB1881"/>
    <w:rsid w:val="00DB2065"/>
    <w:rsid w:val="00DB7BCC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5D5E"/>
    <w:rsid w:val="00E91002"/>
    <w:rsid w:val="00E913BC"/>
    <w:rsid w:val="00E9474A"/>
    <w:rsid w:val="00EB0C7E"/>
    <w:rsid w:val="00EB5045"/>
    <w:rsid w:val="00ED64E4"/>
    <w:rsid w:val="00EF5D2E"/>
    <w:rsid w:val="00F009D1"/>
    <w:rsid w:val="00F03D9D"/>
    <w:rsid w:val="00F17393"/>
    <w:rsid w:val="00F33840"/>
    <w:rsid w:val="00F35EA6"/>
    <w:rsid w:val="00F4004F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12</cp:revision>
  <cp:lastPrinted>2019-02-23T15:17:00Z</cp:lastPrinted>
  <dcterms:created xsi:type="dcterms:W3CDTF">2021-06-03T08:58:00Z</dcterms:created>
  <dcterms:modified xsi:type="dcterms:W3CDTF">2021-06-22T07:46:00Z</dcterms:modified>
</cp:coreProperties>
</file>